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53" w:rsidRPr="00410B53" w:rsidRDefault="00B227C4"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b/>
          <w:sz w:val="20"/>
          <w:szCs w:val="20"/>
        </w:rPr>
      </w:pPr>
      <w:r>
        <w:rPr>
          <w:rFonts w:ascii="Verdana" w:hAnsi="Verdana" w:cs="Courier New"/>
          <w:noProof/>
          <w:sz w:val="20"/>
          <w:szCs w:val="20"/>
        </w:rPr>
        <w:pict>
          <v:shapetype id="_x0000_t32" coordsize="21600,21600" o:spt="32" o:oned="t" path="m,l21600,21600e" filled="f">
            <v:path arrowok="t" fillok="f" o:connecttype="none"/>
            <o:lock v:ext="edit" shapetype="t"/>
          </v:shapetype>
          <v:shape id="_x0000_s1028" type="#_x0000_t32" style="position:absolute;margin-left:155.7pt;margin-top:9pt;width:178.05pt;height:6.75pt;z-index:251660288" o:connectortype="straight" o:regroupid="1"/>
        </w:pict>
      </w:r>
      <w:r>
        <w:rPr>
          <w:rFonts w:ascii="Verdana" w:hAnsi="Verdana" w:cs="Courier New"/>
          <w:noProof/>
          <w:sz w:val="20"/>
          <w:szCs w:val="20"/>
        </w:rPr>
        <w:pict>
          <v:shapetype id="_x0000_t202" coordsize="21600,21600" o:spt="202" path="m,l,21600r21600,l21600,xe">
            <v:stroke joinstyle="miter"/>
            <v:path gradientshapeok="t" o:connecttype="rect"/>
          </v:shapetype>
          <v:shape id="_x0000_s1027" type="#_x0000_t202" style="position:absolute;margin-left:333.75pt;margin-top:-1.5pt;width:183.75pt;height:301.45pt;z-index:251659264;mso-width-relative:margin;mso-height-relative:margin" o:regroupid="1" stroked="f">
            <v:textbox>
              <w:txbxContent>
                <w:p w:rsidR="00B227C4" w:rsidRDefault="00B227C4" w:rsidP="00B227C4">
                  <w:pPr>
                    <w:rPr>
                      <w:color w:val="1F497D" w:themeColor="text2"/>
                    </w:rPr>
                  </w:pPr>
                  <w:r>
                    <w:rPr>
                      <w:color w:val="1F497D" w:themeColor="text2"/>
                    </w:rPr>
                    <w:t>New section introduced by a 2</w:t>
                  </w:r>
                  <w:r w:rsidRPr="00B227C4">
                    <w:rPr>
                      <w:color w:val="1F497D" w:themeColor="text2"/>
                      <w:vertAlign w:val="superscript"/>
                    </w:rPr>
                    <w:t>nd</w:t>
                  </w:r>
                  <w:r>
                    <w:rPr>
                      <w:color w:val="1F497D" w:themeColor="text2"/>
                    </w:rPr>
                    <w:t>-level heading.</w:t>
                  </w:r>
                </w:p>
                <w:p w:rsidR="00B227C4" w:rsidRDefault="00B227C4" w:rsidP="00B227C4">
                  <w:pPr>
                    <w:rPr>
                      <w:color w:val="1F497D" w:themeColor="text2"/>
                    </w:rPr>
                  </w:pPr>
                  <w:r>
                    <w:rPr>
                      <w:color w:val="1F497D" w:themeColor="text2"/>
                    </w:rPr>
                    <w:t>Topic of the previous section “coring and coring analysis” is referenced.</w:t>
                  </w:r>
                </w:p>
                <w:p w:rsidR="00B227C4" w:rsidRDefault="00B227C4" w:rsidP="00B227C4">
                  <w:pPr>
                    <w:rPr>
                      <w:color w:val="1F497D" w:themeColor="text2"/>
                    </w:rPr>
                  </w:pPr>
                  <w:r>
                    <w:rPr>
                      <w:color w:val="1F497D" w:themeColor="text2"/>
                    </w:rPr>
                    <w:t>Indicates how this section and the previous section are related.</w:t>
                  </w:r>
                </w:p>
                <w:p w:rsidR="00B227C4" w:rsidRDefault="00B227C4" w:rsidP="00B227C4">
                  <w:pPr>
                    <w:rPr>
                      <w:color w:val="1F497D" w:themeColor="text2"/>
                    </w:rPr>
                  </w:pPr>
                </w:p>
                <w:p w:rsidR="00B227C4" w:rsidRDefault="00B227C4" w:rsidP="00B227C4">
                  <w:pPr>
                    <w:rPr>
                      <w:color w:val="1F497D" w:themeColor="text2"/>
                    </w:rPr>
                  </w:pPr>
                  <w:r>
                    <w:rPr>
                      <w:color w:val="1F497D" w:themeColor="text2"/>
                    </w:rPr>
                    <w:t>Background and initial description of wire-line logging.</w:t>
                  </w:r>
                </w:p>
                <w:p w:rsidR="00B227C4" w:rsidRDefault="00B227C4" w:rsidP="00B227C4">
                  <w:pPr>
                    <w:rPr>
                      <w:color w:val="1F497D" w:themeColor="text2"/>
                    </w:rPr>
                  </w:pPr>
                </w:p>
                <w:p w:rsidR="00B227C4" w:rsidRDefault="00B227C4" w:rsidP="00B227C4">
                  <w:pPr>
                    <w:rPr>
                      <w:color w:val="1F497D" w:themeColor="text2"/>
                    </w:rPr>
                  </w:pPr>
                </w:p>
                <w:p w:rsidR="00B227C4" w:rsidRDefault="00B227C4" w:rsidP="00B227C4">
                  <w:pPr>
                    <w:rPr>
                      <w:color w:val="1F497D" w:themeColor="text2"/>
                    </w:rPr>
                  </w:pPr>
                  <w:r>
                    <w:rPr>
                      <w:color w:val="1F497D" w:themeColor="text2"/>
                    </w:rPr>
                    <w:t>Overview of the contents of this section.</w:t>
                  </w:r>
                </w:p>
                <w:p w:rsidR="00B227C4" w:rsidRDefault="00B227C4" w:rsidP="00B227C4">
                  <w:pPr>
                    <w:rPr>
                      <w:color w:val="1F497D" w:themeColor="text2"/>
                    </w:rPr>
                  </w:pPr>
                </w:p>
                <w:p w:rsidR="00B227C4" w:rsidRPr="004428ED" w:rsidRDefault="00B227C4" w:rsidP="00B227C4">
                  <w:pPr>
                    <w:rPr>
                      <w:color w:val="1F497D" w:themeColor="text2"/>
                    </w:rPr>
                  </w:pPr>
                </w:p>
                <w:p w:rsidR="00B227C4" w:rsidRDefault="00B227C4" w:rsidP="00B227C4">
                  <w:pPr>
                    <w:rPr>
                      <w:color w:val="1F497D" w:themeColor="text2"/>
                    </w:rPr>
                  </w:pPr>
                </w:p>
                <w:p w:rsidR="00B227C4" w:rsidRPr="004428ED" w:rsidRDefault="00B227C4" w:rsidP="00B227C4">
                  <w:pPr>
                    <w:rPr>
                      <w:color w:val="1F497D" w:themeColor="text2"/>
                    </w:rPr>
                  </w:pPr>
                </w:p>
              </w:txbxContent>
            </v:textbox>
          </v:shape>
        </w:pict>
      </w:r>
      <w:r w:rsidR="00410B53" w:rsidRPr="00410B53">
        <w:rPr>
          <w:rFonts w:ascii="Verdana" w:hAnsi="Verdana" w:cs="Courier New"/>
          <w:b/>
          <w:sz w:val="20"/>
          <w:szCs w:val="20"/>
        </w:rPr>
        <w:t>Wire-Line Logging Devices</w:t>
      </w:r>
    </w:p>
    <w:p w:rsidR="00410B53" w:rsidRPr="00410B53" w:rsidRDefault="00410B53"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410B53" w:rsidRPr="00410B53" w:rsidRDefault="008C6FC2"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8C6FC2">
        <w:rPr>
          <w:rFonts w:ascii="Verdana" w:hAnsi="Verdana" w:cs="Courier New"/>
          <w:noProof/>
          <w:sz w:val="20"/>
          <w:szCs w:val="20"/>
          <w:highlight w:val="lightGray"/>
        </w:rPr>
        <w:pict>
          <v:shape id="_x0000_s1029" type="#_x0000_t32" style="position:absolute;margin-left:274.5pt;margin-top:17.3pt;width:59.25pt;height:16.15pt;z-index:251661312" o:connectortype="straight" o:regroupid="1"/>
        </w:pict>
      </w:r>
      <w:r w:rsidR="00B227C4" w:rsidRPr="008C6FC2">
        <w:rPr>
          <w:rFonts w:ascii="Verdana" w:hAnsi="Verdana" w:cs="Courier New"/>
          <w:noProof/>
          <w:sz w:val="20"/>
          <w:szCs w:val="20"/>
          <w:highlight w:val="lightGray"/>
        </w:rPr>
        <w:pict>
          <v:shape id="_x0000_s1030" type="#_x0000_t32" style="position:absolute;margin-left:246pt;margin-top:43.2pt;width:87.75pt;height:23.55pt;z-index:251662336" o:connectortype="straight" o:regroupid="1"/>
        </w:pict>
      </w:r>
      <w:r w:rsidR="00410B53" w:rsidRPr="008C6FC2">
        <w:rPr>
          <w:rFonts w:ascii="Verdana" w:hAnsi="Verdana" w:cs="Courier New"/>
          <w:sz w:val="20"/>
          <w:szCs w:val="20"/>
          <w:highlight w:val="lightGray"/>
        </w:rPr>
        <w:t>Coring and core analysis techniques</w:t>
      </w:r>
      <w:r w:rsidR="00410B53" w:rsidRPr="00410B53">
        <w:rPr>
          <w:rFonts w:ascii="Verdana" w:hAnsi="Verdana" w:cs="Courier New"/>
          <w:sz w:val="20"/>
          <w:szCs w:val="20"/>
        </w:rPr>
        <w:t xml:space="preserve"> a</w:t>
      </w:r>
      <w:r>
        <w:rPr>
          <w:rFonts w:ascii="Verdana" w:hAnsi="Verdana" w:cs="Courier New"/>
          <w:sz w:val="20"/>
          <w:szCs w:val="20"/>
        </w:rPr>
        <w:t>r</w:t>
      </w:r>
      <w:r w:rsidR="00410B53" w:rsidRPr="00410B53">
        <w:rPr>
          <w:rFonts w:ascii="Verdana" w:hAnsi="Verdana" w:cs="Courier New"/>
          <w:sz w:val="20"/>
          <w:szCs w:val="20"/>
        </w:rPr>
        <w:t xml:space="preserve">e adequate only to a certain extent, as the previous section shows. </w:t>
      </w:r>
      <w:r w:rsidR="00410B53" w:rsidRPr="00B227C4">
        <w:rPr>
          <w:rFonts w:ascii="Verdana" w:hAnsi="Verdana" w:cs="Courier New"/>
          <w:sz w:val="20"/>
          <w:szCs w:val="20"/>
          <w:highlight w:val="lightGray"/>
        </w:rPr>
        <w:t>However, a much faster and less expensive method of detecting fractures</w:t>
      </w:r>
      <w:r w:rsidR="00410B53" w:rsidRPr="00410B53">
        <w:rPr>
          <w:rFonts w:ascii="Verdana" w:hAnsi="Verdana" w:cs="Courier New"/>
          <w:sz w:val="20"/>
          <w:szCs w:val="20"/>
        </w:rPr>
        <w:t xml:space="preserve"> is increasingly being used in exploratory wells: wire-line logging anlysis. </w:t>
      </w:r>
    </w:p>
    <w:p w:rsidR="00410B53" w:rsidRPr="00410B53" w:rsidRDefault="00410B53"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410B53" w:rsidRPr="00410B53" w:rsidRDefault="00B227C4"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noProof/>
          <w:sz w:val="20"/>
          <w:szCs w:val="20"/>
        </w:rPr>
        <w:pict>
          <v:shape id="_x0000_s1031" type="#_x0000_t32" style="position:absolute;margin-left:268.5pt;margin-top:63.6pt;width:65.25pt;height:0;z-index:251663360" o:connectortype="straight" o:regroupid="1"/>
        </w:pict>
      </w:r>
      <w:r w:rsidR="00410B53" w:rsidRPr="00410B53">
        <w:rPr>
          <w:rFonts w:ascii="Verdana" w:hAnsi="Verdana" w:cs="Courier New"/>
          <w:sz w:val="20"/>
          <w:szCs w:val="20"/>
        </w:rPr>
        <w:t xml:space="preserve">Logging can be generally defined as the storing of any information that may be of importance in producing an accurate subsurface geological map. Logs are kept of such things as cores, drilling muds (the fluids used to reduce friction during drilling), </w:t>
      </w:r>
      <w:r w:rsidR="00410B53">
        <w:rPr>
          <w:rFonts w:ascii="Verdana" w:hAnsi="Verdana" w:cs="Courier New"/>
          <w:sz w:val="20"/>
          <w:szCs w:val="20"/>
        </w:rPr>
        <w:t>a</w:t>
      </w:r>
      <w:r w:rsidR="00410B53" w:rsidRPr="00410B53">
        <w:rPr>
          <w:rFonts w:ascii="Verdana" w:hAnsi="Verdana" w:cs="Courier New"/>
          <w:sz w:val="20"/>
          <w:szCs w:val="20"/>
        </w:rPr>
        <w:t xml:space="preserve">nd drilling rates. </w:t>
      </w:r>
      <w:r w:rsidR="00410B53" w:rsidRPr="00B227C4">
        <w:rPr>
          <w:rFonts w:ascii="Verdana" w:hAnsi="Verdana" w:cs="Courier New"/>
          <w:sz w:val="20"/>
          <w:szCs w:val="20"/>
          <w:highlight w:val="lightGray"/>
        </w:rPr>
        <w:t>In wire-line logging, this information is collected by lowering a probe into a well at the end of a multiconductor cable (the actual wire line). The probe then records physical properties as a function of depth, and the record is reproduced as a well log on graph paper.</w:t>
      </w:r>
    </w:p>
    <w:p w:rsidR="00410B53" w:rsidRPr="00410B53" w:rsidRDefault="00410B53" w:rsidP="00410B5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702D0C" w:rsidRPr="00410B53" w:rsidRDefault="00B227C4" w:rsidP="00410B53">
      <w:pPr>
        <w:spacing w:line="240" w:lineRule="auto"/>
        <w:rPr>
          <w:rFonts w:ascii="Verdana" w:hAnsi="Verdana"/>
        </w:rPr>
      </w:pPr>
      <w:r>
        <w:rPr>
          <w:rFonts w:ascii="Verdana" w:hAnsi="Verdana" w:cs="Courier New"/>
          <w:noProof/>
          <w:sz w:val="20"/>
          <w:szCs w:val="20"/>
        </w:rPr>
        <w:pict>
          <v:shape id="_x0000_s1032" type="#_x0000_t32" style="position:absolute;margin-left:279pt;margin-top:13.5pt;width:58.5pt;height:15.7pt;flip:y;z-index:251664384" o:connectortype="straight"/>
        </w:pict>
      </w:r>
      <w:r w:rsidR="00410B53" w:rsidRPr="00410B53">
        <w:rPr>
          <w:rFonts w:ascii="Verdana" w:hAnsi="Verdana" w:cs="Courier New"/>
          <w:sz w:val="20"/>
          <w:szCs w:val="20"/>
        </w:rPr>
        <w:t>Several wire-line well logs exist which can be used to determine whether a formation may be fractured. The types of logs discussed in the following include (1)</w:t>
      </w:r>
      <w:r w:rsidR="00410B53">
        <w:rPr>
          <w:rFonts w:ascii="Verdana" w:hAnsi="Verdana" w:cs="Courier New"/>
          <w:sz w:val="20"/>
          <w:szCs w:val="20"/>
        </w:rPr>
        <w:t xml:space="preserve"> </w:t>
      </w:r>
      <w:r w:rsidR="00410B53" w:rsidRPr="00410B53">
        <w:rPr>
          <w:rFonts w:ascii="Verdana" w:hAnsi="Verdana" w:cs="Courier New"/>
          <w:sz w:val="20"/>
          <w:szCs w:val="20"/>
        </w:rPr>
        <w:t xml:space="preserve">the sonic amplitude log, (2) the dual-induction laterolog, </w:t>
      </w:r>
      <w:r w:rsidR="00410B53">
        <w:rPr>
          <w:rFonts w:ascii="Verdana" w:hAnsi="Verdana" w:cs="Courier New"/>
          <w:sz w:val="20"/>
          <w:szCs w:val="20"/>
        </w:rPr>
        <w:br/>
      </w:r>
      <w:r w:rsidR="00410B53" w:rsidRPr="00410B53">
        <w:rPr>
          <w:rFonts w:ascii="Verdana" w:hAnsi="Verdana" w:cs="Courier New"/>
          <w:sz w:val="20"/>
          <w:szCs w:val="20"/>
        </w:rPr>
        <w:t>(3) the neutro</w:t>
      </w:r>
      <w:r w:rsidR="00FA3A8F">
        <w:rPr>
          <w:rFonts w:ascii="Verdana" w:hAnsi="Verdana" w:cs="Courier New"/>
          <w:sz w:val="20"/>
          <w:szCs w:val="20"/>
        </w:rPr>
        <w:t>n</w:t>
      </w:r>
      <w:r w:rsidR="00410B53" w:rsidRPr="00410B53">
        <w:rPr>
          <w:rFonts w:ascii="Verdana" w:hAnsi="Verdana" w:cs="Courier New"/>
          <w:sz w:val="20"/>
          <w:szCs w:val="20"/>
        </w:rPr>
        <w:t xml:space="preserve"> log, and (4) the fractu</w:t>
      </w:r>
      <w:r w:rsidR="00086B9C">
        <w:rPr>
          <w:rFonts w:ascii="Verdana" w:hAnsi="Verdana" w:cs="Courier New"/>
          <w:sz w:val="20"/>
          <w:szCs w:val="20"/>
        </w:rPr>
        <w:t>r</w:t>
      </w:r>
      <w:r w:rsidR="00410B53" w:rsidRPr="00410B53">
        <w:rPr>
          <w:rFonts w:ascii="Verdana" w:hAnsi="Verdana" w:cs="Courier New"/>
          <w:sz w:val="20"/>
          <w:szCs w:val="20"/>
        </w:rPr>
        <w:t>e identification log.</w:t>
      </w:r>
    </w:p>
    <w:sectPr w:rsidR="00702D0C" w:rsidRPr="00410B53" w:rsidSect="00410B53">
      <w:pgSz w:w="12240" w:h="15840"/>
      <w:pgMar w:top="1440" w:right="576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10B53"/>
    <w:rsid w:val="00086B9C"/>
    <w:rsid w:val="001331EF"/>
    <w:rsid w:val="00172CF8"/>
    <w:rsid w:val="00215F42"/>
    <w:rsid w:val="002C4754"/>
    <w:rsid w:val="00351DCC"/>
    <w:rsid w:val="00410B53"/>
    <w:rsid w:val="004D3ABE"/>
    <w:rsid w:val="005448C1"/>
    <w:rsid w:val="0055290B"/>
    <w:rsid w:val="005652D0"/>
    <w:rsid w:val="006231DB"/>
    <w:rsid w:val="00695908"/>
    <w:rsid w:val="00702D0C"/>
    <w:rsid w:val="007065F6"/>
    <w:rsid w:val="007919F1"/>
    <w:rsid w:val="008C6FC2"/>
    <w:rsid w:val="00AC1263"/>
    <w:rsid w:val="00B227C4"/>
    <w:rsid w:val="00B73F2A"/>
    <w:rsid w:val="00FA3A8F"/>
    <w:rsid w:val="00FA603B"/>
    <w:rsid w:val="00FB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0"/>
        <o:r id="V:Rule3" type="connector" idref="#_x0000_s1029"/>
        <o:r id="V:Rule4" type="connector" idref="#_x0000_s1031"/>
        <o:r id="V:Rule5" type="connector" idref="#_x0000_s10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Words>
  <Characters>940</Characters>
  <Application>Microsoft Office Word</Application>
  <DocSecurity>0</DocSecurity>
  <Lines>32</Lines>
  <Paragraphs>11</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5</cp:revision>
  <dcterms:created xsi:type="dcterms:W3CDTF">2014-06-10T22:11:00Z</dcterms:created>
  <dcterms:modified xsi:type="dcterms:W3CDTF">2014-06-10T22:25:00Z</dcterms:modified>
</cp:coreProperties>
</file>